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before="0" w:after="0" w:line="240" w:lineRule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滨海新区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2024年培育壮大农民合作社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和家庭农场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推进新型农业经营主体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提质强基</w:t>
      </w:r>
      <w:r>
        <w:rPr>
          <w:rFonts w:hint="eastAsia" w:eastAsia="仿宋_GB2312" w:cs="Times New Roman"/>
          <w:sz w:val="32"/>
          <w:szCs w:val="32"/>
          <w:lang w:val="en" w:eastAsia="zh-CN"/>
        </w:rPr>
        <w:t>增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根据《市农业农村委关于印发&lt;天津市2024年培育壮大农民合作社和家庭农场实施方案&gt;的通知》（津农委计财〔2024〕49号）要求，结合我区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实际，制定本工作方案。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突出抓好农民合作社和家庭农场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两类农业经营主体发展，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支持农民合作社、家庭农场夯实组织基础、提升运营质量、强化服务带动能力</w:t>
      </w:r>
      <w:r>
        <w:rPr>
          <w:rFonts w:hint="eastAsia" w:eastAsia="仿宋_GB2312" w:cs="Times New Roman"/>
          <w:sz w:val="32"/>
          <w:szCs w:val="32"/>
          <w:lang w:eastAsia="zh-CN"/>
        </w:rPr>
        <w:t>。通过提高标准化生产水平，</w:t>
      </w:r>
      <w:r>
        <w:rPr>
          <w:rFonts w:hint="eastAsia" w:eastAsia="仿宋_GB2312" w:cs="Times New Roman"/>
          <w:color w:val="000000"/>
          <w:sz w:val="32"/>
          <w:szCs w:val="32"/>
          <w:u w:val="none"/>
          <w:lang w:eastAsia="zh-CN"/>
        </w:rPr>
        <w:t>应用新进技术，</w:t>
      </w:r>
      <w:r>
        <w:rPr>
          <w:rFonts w:hint="eastAsia" w:eastAsia="仿宋_GB2312" w:cs="Times New Roman"/>
          <w:color w:val="000000"/>
          <w:sz w:val="32"/>
          <w:szCs w:val="32"/>
          <w:u w:val="none"/>
          <w:lang w:val="en-US" w:eastAsia="zh-CN"/>
        </w:rPr>
        <w:t>品牌化建设，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实现新型农业经营主体发展质量效益稳步提升、服务带动效应显著增强。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经主体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申报、街镇初核、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区级论证、公示确定的支持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主体共8个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其中农民合作社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6个：天津丰润蔬菜种植专业合作社、天津市滨海新区顺德利畜禽养殖专业合作社、天津市金沃野农作物种植专业合作社、天津市誉农农作物种植专业合作社、天津栖凤农作物种植专业合作社、天津市阳光新星农作物种植专业合作社；家庭农场2个：天津李官庄家庭农场、天津海拓家庭农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对符合条件的新型农业经营主体采取奖补方式给予支持。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支持对象所申报的“项目方案”中资金投入及申请财政奖补金额，确定8个支持对象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财政奖补金额如下：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2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500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支持对象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财政奖补金额（万元）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</w:trPr>
        <w:tc>
          <w:tcPr>
            <w:tcW w:w="500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天津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丰润蔬菜种植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专业合作社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</w:trPr>
        <w:tc>
          <w:tcPr>
            <w:tcW w:w="500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天津栖凤农作物种植专业合作社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atLeast"/>
        </w:trPr>
        <w:tc>
          <w:tcPr>
            <w:tcW w:w="500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天津市滨海新区顺德利畜禽养殖专业合作社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9" w:hRule="atLeast"/>
        </w:trPr>
        <w:tc>
          <w:tcPr>
            <w:tcW w:w="500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en-US" w:bidi="ar-SA"/>
              </w:rPr>
              <w:t>天津市金沃野农作物种植专业合作社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7" w:hRule="atLeast"/>
        </w:trPr>
        <w:tc>
          <w:tcPr>
            <w:tcW w:w="500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天津市阳光新星农作物种植专业合作社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500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天津市誉农农作物种植专业合作社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4" w:hRule="atLeast"/>
        </w:trPr>
        <w:tc>
          <w:tcPr>
            <w:tcW w:w="500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天津李官庄家庭农场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500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天津海拓家庭农场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50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70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四、支持内容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4" w:line="540" w:lineRule="exact"/>
        <w:ind w:right="313" w:firstLine="6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楷体" w:hAnsi="楷体" w:eastAsia="楷体" w:cs="楷体"/>
          <w:spacing w:val="5"/>
          <w:sz w:val="32"/>
          <w:szCs w:val="32"/>
        </w:rPr>
        <w:t>(一)支持新型农业经营主体夯实组织基础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支持新型农业经营主体利用信息化工具提升组织运行规范化水平。支持农民合作社应用符合制度要求的财务管理软件，聘请专业财务会计人员或使用委托代理记账服务，按照《农民专业合作社财务制度》《农民专业合作社会计制度》要求进行财务管理和会计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4" w:line="540" w:lineRule="exact"/>
        <w:ind w:right="313" w:firstLine="644" w:firstLineChars="200"/>
        <w:jc w:val="both"/>
        <w:textAlignment w:val="auto"/>
        <w:outlineLvl w:val="9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4"/>
          <w:sz w:val="33"/>
          <w:szCs w:val="33"/>
        </w:rPr>
        <w:t>(二)支持新型农业经营主体提升运营质量</w:t>
      </w:r>
      <w:r>
        <w:rPr>
          <w:rFonts w:ascii="仿宋" w:hAnsi="仿宋" w:eastAsia="仿宋" w:cs="仿宋"/>
          <w:spacing w:val="-4"/>
          <w:sz w:val="33"/>
          <w:szCs w:val="33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支持新型农业经营主体围绕品牌化经营以及发展绿色、有机、地理标志和达标合格农产品，开展育种研发、依标生产、质量认证、包装设计、营销促销、宣传推介等方面工作。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2" w:line="540" w:lineRule="exact"/>
        <w:ind w:firstLine="628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ascii="楷体" w:hAnsi="楷体" w:eastAsia="楷体" w:cs="楷体"/>
          <w:spacing w:val="-8"/>
          <w:sz w:val="33"/>
          <w:szCs w:val="33"/>
        </w:rPr>
        <w:t>(三)支持新型农业经营主体强化服务带动能力</w:t>
      </w:r>
      <w:r>
        <w:rPr>
          <w:rFonts w:ascii="仿宋" w:hAnsi="仿宋" w:eastAsia="仿宋" w:cs="仿宋"/>
          <w:spacing w:val="-8"/>
          <w:sz w:val="33"/>
          <w:szCs w:val="33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支持新型农业经营主体参与技术集成组装方案筛选、熟化，提高大田生产技术到位率。鼓励新型农业经营主体通过应用推广先进适用技术和模式，带动小农户提升综合生产能力和发展水平。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监督管理机制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）抓好组织实施。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区农业农村委做好主体申报、奖补发放、信息公开等工作，动态掌握项目实施进展，实现项目精细化管理。相关街镇要组织各项目主体严格按照方案要求开展项目建设。在项目建设完成后，按照主体自验、乡镇复核、区级验收的程序，于2024年11月底前完成项目验收。区农业农村委在完成项目验收后，及时向区财政局申请财政补助资金并兑现给支持主体。对获得奖补支持的规范主体实行名录管理，在全国家庭农场一码通服务系统记录获得奖补支持的家庭农场信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）规范资金使用。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委会同区财政局严格资金分配和使用，严禁以拨代支、挤占挪用、虚报冒领。不得受理以中介机构名义直接代理申报的资金项目，不得将财政补助资金用于支付中介费用，不得用于兴建楼堂馆所、弥补预算支出缺口等与农业经营主体能力提升无关的支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同时，加强项目资金监管，确保专款专用，保障财政资金有效安全运行。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）强化项目总结。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各相关镇要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全面总结项目完成情况，梳理项目实施的主要做法、取得成效及问题不足，形成工作总结，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于2024年12月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日前报送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）加强绩效管理。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区农业农村委按照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《天津市2024年培育壮大农民合作社和家庭农场项目绩效评价指标体系》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，做好培育壮大农民合作社和家庭农场任务项目工作，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并于项目实施完成后，实事求是开展绩效自评。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6" w:firstLineChars="1402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2041" w:right="1559" w:bottom="204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ZmMxZjBjZjkyOWY1ODNjZWNlMDg2NzhjNGVmYjQifQ=="/>
  </w:docVars>
  <w:rsids>
    <w:rsidRoot w:val="0A7D7362"/>
    <w:rsid w:val="0A7D7362"/>
    <w:rsid w:val="67FDF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内容"/>
    <w:basedOn w:val="1"/>
    <w:qFormat/>
    <w:uiPriority w:val="0"/>
    <w:pPr>
      <w:ind w:firstLine="640"/>
    </w:pPr>
    <w:rPr>
      <w:rFonts w:ascii="仿宋" w:hAnsi="仿宋" w:eastAsia="仿宋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2024-10-08T15:01:00Z</dcterms:created>
  <dc:creator>暢</dc:creator>
  <cp:lastModifiedBy>马飒</cp:lastModifiedBy>
  <cp:lastPrinted>2024-10-08T15:23:00Z</cp:lastPrinted>
  <dcterms:modified xsi:type="dcterms:W3CDTF">2025-03-26T14:40:43Z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CB80C38B6A5347B0BCD16D3A6C620865_11</vt:lpwstr>
  </property>
</Properties>
</file>